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5019" w14:textId="77777777" w:rsidR="005F3525" w:rsidRPr="005F3525" w:rsidRDefault="005F3525" w:rsidP="005F352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</w:pPr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Les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propriétaires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de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Troisième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Cru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classé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de Margaux ont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exploré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en détail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leurs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parcelles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et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il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est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clairement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apparu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qu'elles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présentent </w:t>
      </w:r>
      <w:r w:rsidRPr="005F3525">
        <w:rPr>
          <w:rFonts w:ascii="Segoe UI" w:eastAsia="Times New Roman" w:hAnsi="Segoe UI" w:cs="Segoe UI"/>
          <w:i/>
          <w:iCs/>
          <w:color w:val="163860"/>
          <w:sz w:val="24"/>
          <w:szCs w:val="24"/>
          <w:lang w:eastAsia="nl-BE"/>
        </w:rPr>
        <w:t xml:space="preserve">des </w:t>
      </w:r>
      <w:proofErr w:type="spellStart"/>
      <w:r w:rsidRPr="005F3525">
        <w:rPr>
          <w:rFonts w:ascii="Segoe UI" w:eastAsia="Times New Roman" w:hAnsi="Segoe UI" w:cs="Segoe UI"/>
          <w:i/>
          <w:iCs/>
          <w:color w:val="163860"/>
          <w:sz w:val="24"/>
          <w:szCs w:val="24"/>
          <w:lang w:eastAsia="nl-BE"/>
        </w:rPr>
        <w:t>critères</w:t>
      </w:r>
      <w:proofErr w:type="spellEnd"/>
      <w:r w:rsidRPr="005F3525">
        <w:rPr>
          <w:rFonts w:ascii="Segoe UI" w:eastAsia="Times New Roman" w:hAnsi="Segoe UI" w:cs="Segoe UI"/>
          <w:i/>
          <w:iCs/>
          <w:color w:val="163860"/>
          <w:sz w:val="24"/>
          <w:szCs w:val="24"/>
          <w:lang w:eastAsia="nl-BE"/>
        </w:rPr>
        <w:t xml:space="preserve"> de drainage naturel de </w:t>
      </w:r>
      <w:proofErr w:type="spellStart"/>
      <w:r w:rsidRPr="005F3525">
        <w:rPr>
          <w:rFonts w:ascii="Segoe UI" w:eastAsia="Times New Roman" w:hAnsi="Segoe UI" w:cs="Segoe UI"/>
          <w:i/>
          <w:iCs/>
          <w:color w:val="163860"/>
          <w:sz w:val="24"/>
          <w:szCs w:val="24"/>
          <w:lang w:eastAsia="nl-BE"/>
        </w:rPr>
        <w:t>qualité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.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Ajoutez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à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cela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la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qualité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et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l'épaisseur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de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son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sol de graves, la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profondeur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de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l'enracinement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et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vous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aurez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 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un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 des plus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beaux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terroirs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 de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l'appellation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.</w:t>
      </w:r>
    </w:p>
    <w:p w14:paraId="0888BFEE" w14:textId="77777777" w:rsidR="005F3525" w:rsidRPr="005F3525" w:rsidRDefault="005F3525" w:rsidP="005F352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</w:pPr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Les 4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cépages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bordelais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se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trouvent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dans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cette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cuvée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du 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fldChar w:fldCharType="begin"/>
      </w:r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instrText xml:space="preserve"> HYPERLINK "https://avis-vin.lefigaro.fr/vins-champagne/bordeaux/medoc/margaux/d20587-chateau-malescot-saint-exupery" \o "Château Malescot Saint-Exupéry Margaux avec L'Avis du Vin : présentation, infos pratiques et techniques, les vins et l'actualité de Château Malescot Saint-Exupéry" </w:instrText>
      </w:r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fldChar w:fldCharType="separate"/>
      </w:r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château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Malescot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 Saint-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Exupéry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fldChar w:fldCharType="end"/>
      </w:r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, mais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nous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n'avons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pas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d'indications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précises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sur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les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proportions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de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chacun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.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Tout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au plus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savons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nous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 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l'ordre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 de leur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importance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 :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cabernet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sauvignon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,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merlot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,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cabernet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 franc et enfin, petit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verdot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.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Après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des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vendanges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manuelles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,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débute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une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vinification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extractive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et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parcellaire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,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avec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des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fermentations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en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cuves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inox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thermorégulées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et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un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élevage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de 14 à 16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mois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en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barriques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neuves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.</w:t>
      </w:r>
    </w:p>
    <w:p w14:paraId="0137AFDB" w14:textId="77777777" w:rsidR="005F3525" w:rsidRPr="005F3525" w:rsidRDefault="005F3525" w:rsidP="005F352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</w:pP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C'est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ainsi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que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voit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le jour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un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 </w:t>
      </w:r>
      <w:hyperlink r:id="rId5" w:tooltip="Toutes les infos sur l'appellation Margaux : localisation, caractéristiques, producteurs et vins" w:history="1">
        <w:r w:rsidRPr="005F3525">
          <w:rPr>
            <w:rFonts w:ascii="Segoe UI" w:eastAsia="Times New Roman" w:hAnsi="Segoe UI" w:cs="Segoe UI"/>
            <w:b/>
            <w:bCs/>
            <w:color w:val="163860"/>
            <w:sz w:val="24"/>
            <w:szCs w:val="24"/>
            <w:lang w:eastAsia="nl-BE"/>
          </w:rPr>
          <w:t>Margaux</w:t>
        </w:r>
      </w:hyperlink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 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distingué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,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soyeux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,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dense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 xml:space="preserve"> et complexe</w:t>
      </w:r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,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avec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une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bouche 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fldChar w:fldCharType="begin"/>
      </w:r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instrText xml:space="preserve"> HYPERLINK "https://avis-vin.lefigaro.fr/connaitre-deguster/tout-savoir-sur-le-vin/dictionnaire-vin/o20312-ample" \o "Dictionnaire du vin : définition de Ample" </w:instrText>
      </w:r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fldChar w:fldCharType="separate"/>
      </w:r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ample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fldChar w:fldCharType="end"/>
      </w:r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,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un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nez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très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évolutif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et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un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superbe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potentiel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de garde. 2007, 2009 et 2011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retiendrons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toute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notre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attention.</w:t>
      </w:r>
    </w:p>
    <w:p w14:paraId="50622658" w14:textId="77777777" w:rsidR="005F3525" w:rsidRPr="005F3525" w:rsidRDefault="005F3525" w:rsidP="005F3525">
      <w:pPr>
        <w:shd w:val="clear" w:color="auto" w:fill="FFFFFF"/>
        <w:spacing w:before="240" w:after="360" w:line="420" w:lineRule="atLeast"/>
        <w:outlineLvl w:val="1"/>
        <w:rPr>
          <w:rFonts w:ascii="Segoe UI" w:eastAsia="Times New Roman" w:hAnsi="Segoe UI" w:cs="Segoe UI"/>
          <w:b/>
          <w:bCs/>
          <w:color w:val="163860"/>
          <w:sz w:val="36"/>
          <w:szCs w:val="36"/>
          <w:lang w:eastAsia="nl-BE"/>
        </w:rPr>
      </w:pP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36"/>
          <w:szCs w:val="36"/>
          <w:lang w:eastAsia="nl-BE"/>
        </w:rPr>
        <w:t>Meilleur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36"/>
          <w:szCs w:val="36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36"/>
          <w:szCs w:val="36"/>
          <w:lang w:eastAsia="nl-BE"/>
        </w:rPr>
        <w:t>millésime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36"/>
          <w:szCs w:val="36"/>
          <w:lang w:eastAsia="nl-BE"/>
        </w:rPr>
        <w:t xml:space="preserve"> de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36"/>
          <w:szCs w:val="36"/>
          <w:lang w:eastAsia="nl-BE"/>
        </w:rPr>
        <w:t>Château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36"/>
          <w:szCs w:val="36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36"/>
          <w:szCs w:val="36"/>
          <w:lang w:eastAsia="nl-BE"/>
        </w:rPr>
        <w:t>Malescot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36"/>
          <w:szCs w:val="36"/>
          <w:lang w:eastAsia="nl-BE"/>
        </w:rPr>
        <w:t xml:space="preserve"> Saint-</w:t>
      </w: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36"/>
          <w:szCs w:val="36"/>
          <w:lang w:eastAsia="nl-BE"/>
        </w:rPr>
        <w:t>Exupéry</w:t>
      </w:r>
      <w:proofErr w:type="spellEnd"/>
      <w:r w:rsidRPr="005F3525">
        <w:rPr>
          <w:rFonts w:ascii="Segoe UI" w:eastAsia="Times New Roman" w:hAnsi="Segoe UI" w:cs="Segoe UI"/>
          <w:b/>
          <w:bCs/>
          <w:color w:val="163860"/>
          <w:sz w:val="36"/>
          <w:szCs w:val="36"/>
          <w:lang w:eastAsia="nl-BE"/>
        </w:rPr>
        <w:t xml:space="preserve"> rouge</w:t>
      </w:r>
    </w:p>
    <w:p w14:paraId="6065EA3D" w14:textId="77777777" w:rsidR="005F3525" w:rsidRPr="005F3525" w:rsidRDefault="005F3525" w:rsidP="005F3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</w:pP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Millésime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 : 2019</w:t>
      </w:r>
    </w:p>
    <w:p w14:paraId="40D81D85" w14:textId="77777777" w:rsidR="005F3525" w:rsidRPr="005F3525" w:rsidRDefault="005F3525" w:rsidP="005F3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</w:pP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Note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 : 96/100</w:t>
      </w:r>
    </w:p>
    <w:p w14:paraId="3DF15EB8" w14:textId="77777777" w:rsidR="005F3525" w:rsidRPr="005F3525" w:rsidRDefault="005F3525" w:rsidP="005F3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</w:pPr>
      <w:proofErr w:type="spellStart"/>
      <w:r w:rsidRPr="005F3525">
        <w:rPr>
          <w:rFonts w:ascii="Segoe UI" w:eastAsia="Times New Roman" w:hAnsi="Segoe UI" w:cs="Segoe UI"/>
          <w:b/>
          <w:bCs/>
          <w:color w:val="163860"/>
          <w:sz w:val="24"/>
          <w:szCs w:val="24"/>
          <w:lang w:eastAsia="nl-BE"/>
        </w:rPr>
        <w:t>Commentaire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 :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Un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nez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invitant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,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généreux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et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charnel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de prune fraîche.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Délicieux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en bouche,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avec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une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superbe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acidité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qui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donne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lui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une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énergie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stupéfiante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. On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retrouve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beaucoup de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densité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en milieu de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palais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et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un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côté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</w:t>
      </w:r>
      <w:proofErr w:type="spellStart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>cacaoté</w:t>
      </w:r>
      <w:proofErr w:type="spellEnd"/>
      <w:r w:rsidRPr="005F3525">
        <w:rPr>
          <w:rFonts w:ascii="Segoe UI" w:eastAsia="Times New Roman" w:hAnsi="Segoe UI" w:cs="Segoe UI"/>
          <w:color w:val="163860"/>
          <w:sz w:val="24"/>
          <w:szCs w:val="24"/>
          <w:lang w:eastAsia="nl-BE"/>
        </w:rPr>
        <w:t xml:space="preserve"> en fin de bouche.</w:t>
      </w:r>
    </w:p>
    <w:p w14:paraId="7B1292C8" w14:textId="77777777" w:rsidR="007E3014" w:rsidRPr="005F3525" w:rsidRDefault="007E3014" w:rsidP="005F3525"/>
    <w:sectPr w:rsidR="007E3014" w:rsidRPr="005F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6FF"/>
    <w:multiLevelType w:val="multilevel"/>
    <w:tmpl w:val="26E2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553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25"/>
    <w:rsid w:val="005F3525"/>
    <w:rsid w:val="007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2EB8"/>
  <w15:chartTrackingRefBased/>
  <w15:docId w15:val="{6CA7872A-C321-43D0-88BD-63A24375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</w:div>
        <w:div w:id="89971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vis-vin.lefigaro.fr/connaitre-deguster/tout-savoir-sur-le-vin/guide-des-regions-et-des-appellations/bordeaux/medoc/appellation-marga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Maenhout | Wijnen Maenhout</dc:creator>
  <cp:keywords/>
  <dc:description/>
  <cp:lastModifiedBy>Stefaan Maenhout | Wijnen Maenhout</cp:lastModifiedBy>
  <cp:revision>1</cp:revision>
  <dcterms:created xsi:type="dcterms:W3CDTF">2022-11-15T09:04:00Z</dcterms:created>
  <dcterms:modified xsi:type="dcterms:W3CDTF">2022-11-15T09:05:00Z</dcterms:modified>
</cp:coreProperties>
</file>